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МУНИЦИПАЛЬНОЕ БЮДЖЕТНОЕ</w:t>
      </w:r>
    </w:p>
    <w:p w14:paraId="03000000">
      <w:pPr>
        <w:spacing w:line="276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ДОШКОЛЬНОЕ ОБРАЗОВАТЕЛЬНОЕ УЧРЕЖДЕНИЕ</w:t>
      </w:r>
    </w:p>
    <w:p w14:paraId="04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«ЯСЛИ – САД КОМБИНИРОВАННОГО ТИПА № 44 </w:t>
      </w:r>
    </w:p>
    <w:p w14:paraId="05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ГОРОДА ДОНЕЦКА»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7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rPr>
          <w:rFonts w:ascii="Times New Roman" w:hAnsi="Times New Roman"/>
          <w:sz w:val="28"/>
        </w:rPr>
      </w:pPr>
    </w:p>
    <w:p w14:paraId="09000000">
      <w:pPr>
        <w:rPr>
          <w:rFonts w:ascii="Times New Roman" w:hAnsi="Times New Roman"/>
          <w:sz w:val="28"/>
        </w:rPr>
      </w:pPr>
    </w:p>
    <w:p w14:paraId="0A000000">
      <w:pPr>
        <w:rPr>
          <w:rFonts w:ascii="Times New Roman" w:hAnsi="Times New Roman"/>
          <w:sz w:val="28"/>
        </w:rPr>
      </w:pPr>
    </w:p>
    <w:p w14:paraId="0B000000">
      <w:pPr>
        <w:ind/>
        <w:jc w:val="center"/>
        <w:rPr>
          <w:rFonts w:ascii="Times New Roman" w:hAnsi="Times New Roman"/>
          <w:sz w:val="28"/>
        </w:rPr>
      </w:pPr>
    </w:p>
    <w:p w14:paraId="0C000000">
      <w:pPr>
        <w:ind/>
        <w:jc w:val="center"/>
        <w:rPr>
          <w:rFonts w:ascii="Times New Roman" w:hAnsi="Times New Roman"/>
          <w:sz w:val="28"/>
        </w:rPr>
      </w:pPr>
    </w:p>
    <w:p w14:paraId="0D000000">
      <w:pPr>
        <w:ind/>
        <w:jc w:val="center"/>
        <w:rPr>
          <w:rFonts w:ascii="Times New Roman" w:hAnsi="Times New Roman"/>
          <w:sz w:val="28"/>
        </w:rPr>
      </w:pPr>
    </w:p>
    <w:p w14:paraId="0E000000">
      <w:pPr>
        <w:ind/>
        <w:jc w:val="center"/>
        <w:rPr>
          <w:rFonts w:ascii="Times New Roman" w:hAnsi="Times New Roman"/>
          <w:sz w:val="28"/>
        </w:rPr>
      </w:pPr>
    </w:p>
    <w:p w14:paraId="0F000000">
      <w:pPr>
        <w:ind/>
        <w:jc w:val="center"/>
        <w:rPr>
          <w:rFonts w:ascii="Times New Roman" w:hAnsi="Times New Roman"/>
          <w:sz w:val="28"/>
        </w:rPr>
      </w:pPr>
    </w:p>
    <w:p w14:paraId="10000000">
      <w:pPr>
        <w:ind/>
        <w:jc w:val="center"/>
        <w:rPr>
          <w:rFonts w:ascii="Times New Roman" w:hAnsi="Times New Roman"/>
          <w:sz w:val="28"/>
        </w:rPr>
      </w:pPr>
    </w:p>
    <w:p w14:paraId="11000000">
      <w:pPr>
        <w:ind/>
        <w:jc w:val="center"/>
        <w:rPr>
          <w:rFonts w:ascii="Times New Roman" w:hAnsi="Times New Roman"/>
          <w:sz w:val="28"/>
        </w:rPr>
      </w:pPr>
    </w:p>
    <w:p w14:paraId="12000000">
      <w:pPr>
        <w:ind/>
        <w:jc w:val="center"/>
        <w:rPr>
          <w:rFonts w:ascii="Times New Roman" w:hAnsi="Times New Roman"/>
          <w:sz w:val="28"/>
        </w:rPr>
      </w:pPr>
    </w:p>
    <w:p w14:paraId="13000000">
      <w:pPr>
        <w:ind/>
        <w:jc w:val="center"/>
        <w:rPr>
          <w:rFonts w:ascii="Times New Roman" w:hAnsi="Times New Roman"/>
          <w:sz w:val="28"/>
        </w:rPr>
      </w:pPr>
    </w:p>
    <w:p w14:paraId="14000000">
      <w:pPr>
        <w:spacing w:line="36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ДОКЛАД </w:t>
      </w:r>
    </w:p>
    <w:p w14:paraId="15000000">
      <w:pPr>
        <w:spacing w:line="360" w:lineRule="auto"/>
        <w:ind/>
        <w:jc w:val="center"/>
        <w:rPr>
          <w:color w:val="000000"/>
          <w:sz w:val="28"/>
        </w:rPr>
      </w:pPr>
      <w:r>
        <w:rPr>
          <w:b w:val="1"/>
          <w:color w:val="000000"/>
          <w:sz w:val="28"/>
        </w:rPr>
        <w:t>«Стратегия взаимодействия детского сада и семьи»</w:t>
      </w:r>
    </w:p>
    <w:p w14:paraId="16000000">
      <w:pPr>
        <w:spacing w:line="36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7000000">
      <w:pPr>
        <w:spacing w:line="36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18000000">
      <w:pPr>
        <w:rPr>
          <w:rFonts w:ascii="Times New Roman" w:hAnsi="Times New Roman"/>
          <w:sz w:val="28"/>
        </w:rPr>
      </w:pPr>
    </w:p>
    <w:p w14:paraId="19000000">
      <w:pPr>
        <w:rPr>
          <w:rFonts w:ascii="Times New Roman" w:hAnsi="Times New Roman"/>
          <w:sz w:val="28"/>
        </w:rPr>
      </w:pPr>
    </w:p>
    <w:p w14:paraId="1A000000">
      <w:pPr>
        <w:spacing w:line="360" w:lineRule="auto"/>
        <w:ind w:firstLine="0" w:left="7087"/>
        <w:rPr>
          <w:rFonts w:ascii="Times New Roman" w:hAnsi="Times New Roman"/>
          <w:sz w:val="28"/>
        </w:rPr>
      </w:pPr>
    </w:p>
    <w:p w14:paraId="1B000000">
      <w:pPr>
        <w:spacing w:line="360" w:lineRule="auto"/>
        <w:ind w:firstLine="0" w:left="6378"/>
        <w:rPr>
          <w:rFonts w:ascii="Times New Roman" w:hAnsi="Times New Roman"/>
          <w:sz w:val="28"/>
        </w:rPr>
      </w:pPr>
    </w:p>
    <w:p w14:paraId="1C000000">
      <w:pPr>
        <w:spacing w:line="360" w:lineRule="auto"/>
        <w:ind w:firstLine="0" w:left="7087"/>
        <w:rPr>
          <w:rFonts w:ascii="Times New Roman" w:hAnsi="Times New Roman"/>
          <w:sz w:val="28"/>
        </w:rPr>
      </w:pPr>
    </w:p>
    <w:p w14:paraId="1D000000">
      <w:pPr>
        <w:spacing w:line="360" w:lineRule="auto"/>
        <w:ind w:firstLine="0" w:left="7087"/>
        <w:rPr>
          <w:rFonts w:ascii="Times New Roman" w:hAnsi="Times New Roman"/>
          <w:sz w:val="28"/>
        </w:rPr>
      </w:pPr>
    </w:p>
    <w:p w14:paraId="1E000000">
      <w:pPr>
        <w:spacing w:line="360" w:lineRule="auto"/>
        <w:ind w:firstLine="0" w:left="-709"/>
        <w:rPr>
          <w:rFonts w:ascii="Times New Roman" w:hAnsi="Times New Roman"/>
          <w:sz w:val="28"/>
        </w:rPr>
      </w:pPr>
    </w:p>
    <w:p w14:paraId="1F000000">
      <w:pPr>
        <w:spacing w:line="360" w:lineRule="auto"/>
        <w:ind w:firstLine="0" w:left="70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Составил:</w:t>
      </w:r>
    </w:p>
    <w:p w14:paraId="20000000">
      <w:pPr>
        <w:spacing w:line="360" w:lineRule="auto"/>
        <w:ind w:firstLine="0" w:left="70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</w:t>
      </w:r>
    </w:p>
    <w:p w14:paraId="21000000">
      <w:pPr>
        <w:spacing w:line="360" w:lineRule="auto"/>
        <w:ind w:firstLine="0" w:left="708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Савенко В.В.</w:t>
      </w:r>
    </w:p>
    <w:p w14:paraId="22000000">
      <w:pPr>
        <w:spacing w:line="360" w:lineRule="auto"/>
        <w:ind w:firstLine="0" w:left="7087"/>
        <w:rPr>
          <w:rFonts w:ascii="Times New Roman" w:hAnsi="Times New Roman"/>
          <w:sz w:val="28"/>
        </w:rPr>
      </w:pPr>
    </w:p>
    <w:p w14:paraId="23000000">
      <w:pPr>
        <w:spacing w:line="360" w:lineRule="auto"/>
        <w:ind/>
        <w:rPr>
          <w:rFonts w:ascii="Times New Roman" w:hAnsi="Times New Roman"/>
          <w:sz w:val="28"/>
        </w:rPr>
      </w:pPr>
    </w:p>
    <w:p w14:paraId="24000000">
      <w:pPr>
        <w:spacing w:line="360" w:lineRule="auto"/>
        <w:ind/>
        <w:jc w:val="center"/>
        <w:rPr>
          <w:rFonts w:ascii="Times New Roman" w:hAnsi="Times New Roman"/>
          <w:sz w:val="28"/>
        </w:rPr>
      </w:pPr>
    </w:p>
    <w:p w14:paraId="25000000">
      <w:pPr>
        <w:spacing w:line="360" w:lineRule="auto"/>
        <w:ind/>
        <w:jc w:val="center"/>
        <w:rPr>
          <w:rFonts w:ascii="Times New Roman" w:hAnsi="Times New Roman"/>
          <w:sz w:val="28"/>
        </w:rPr>
      </w:pPr>
    </w:p>
    <w:p w14:paraId="26000000">
      <w:pPr>
        <w:spacing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Донецк 2023</w:t>
      </w:r>
    </w:p>
    <w:p w14:paraId="27000000">
      <w:pPr>
        <w:spacing w:line="360" w:lineRule="auto"/>
        <w:ind/>
        <w:jc w:val="center"/>
        <w:rPr>
          <w:rFonts w:ascii="Times New Roman" w:hAnsi="Times New Roman"/>
          <w:i w:val="1"/>
          <w:sz w:val="28"/>
        </w:rPr>
      </w:pPr>
      <w:r>
        <w:rPr>
          <w:b w:val="1"/>
          <w:i w:val="1"/>
          <w:color w:val="000000"/>
          <w:sz w:val="24"/>
        </w:rPr>
        <w:t>«Стратегия взаимодействия детского сада и семьи»</w:t>
      </w:r>
    </w:p>
    <w:p w14:paraId="28000000">
      <w:pPr>
        <w:spacing w:line="240" w:lineRule="auto"/>
        <w:ind w:firstLine="520" w:left="0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Проблема взаимодействия ДОУ и семьи в последнее время попала в разряд </w:t>
      </w:r>
      <w:r>
        <w:rPr>
          <w:color w:val="000000"/>
          <w:sz w:val="24"/>
        </w:rPr>
        <w:t>самых</w:t>
      </w:r>
      <w:r>
        <w:rPr>
          <w:color w:val="000000"/>
          <w:sz w:val="24"/>
        </w:rPr>
        <w:t xml:space="preserve"> актуальных. Изменившаяся современная семья заставляет искать новые формы взаимодействия. В условиях,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 и личностного развития ребёнка. Но папам и мамам необходимо помнить, что детский сад только помощник в воспитании ребенка и поэтому они не должны перекладывать всю ответственность на педагогов и устраняться от воспитательного процесса.</w:t>
      </w:r>
    </w:p>
    <w:p w14:paraId="29000000">
      <w:pPr>
        <w:spacing w:line="240" w:lineRule="auto"/>
        <w:ind w:firstLine="520" w:left="0"/>
        <w:jc w:val="both"/>
        <w:rPr>
          <w:color w:val="000000"/>
          <w:sz w:val="24"/>
        </w:rPr>
      </w:pPr>
      <w:r>
        <w:rPr>
          <w:color w:val="000000"/>
          <w:sz w:val="24"/>
        </w:rPr>
        <w:t>Семья и детский сад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</w:t>
      </w:r>
    </w:p>
    <w:p w14:paraId="2A000000">
      <w:pPr>
        <w:spacing w:line="240" w:lineRule="auto"/>
        <w:ind w:firstLine="520" w:left="0"/>
        <w:jc w:val="both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Так, в законе «Об образовании» в ст. 44, п.1 записано, что «родители (законные представители) несовершеннолетних обучающихся имеют преимущественное право перед всеми другими лицами. Они обязаны заложить основы физического, нравственного и интеллектуального развития личности ребёнка в раннем возрасте».</w:t>
      </w:r>
    </w:p>
    <w:p w14:paraId="2B000000">
      <w:pPr>
        <w:spacing w:line="240" w:lineRule="auto"/>
        <w:ind w:firstLine="520" w:left="0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Семья - первоисточник и образец формирования межличностных отношений ребенка, а папа и мама - образцы для подражания. Не существует другого такого института, кроме института семьи, так точно предопределяющего закономерности формирования будущего человека. За поведенческими проблемами, особенностями детских взаимоотношений видны взрослые – их взгляды на мир, их позиции и поведенческие стереотипы. Родители, не владея в достаточной мере, знанием возрастных и индивидуальных особенностей развития ребенка, порой осуществляют воспитание ребенка вслепую, интуитивно. Все это не приносит желаемых результатов. </w:t>
      </w:r>
    </w:p>
    <w:p w14:paraId="2C000000">
      <w:pPr>
        <w:spacing w:line="240" w:lineRule="auto"/>
        <w:ind w:firstLine="520" w:left="0"/>
        <w:jc w:val="both"/>
        <w:rPr>
          <w:rFonts w:ascii="Times New Roman" w:hAnsi="Times New Roman"/>
          <w:sz w:val="28"/>
          <w:u w:val="single"/>
        </w:rPr>
      </w:pPr>
      <w:r>
        <w:rPr>
          <w:color w:val="000000"/>
          <w:sz w:val="24"/>
        </w:rPr>
        <w:t xml:space="preserve">Цель педагогов – создать единое пространство развития ребенка в семье и ДОУ, сделать родителей участниками полноценного воспитательного процесса. Достичь высокого качества в развитии, полностью удовлетворить интересы родителей и детей, создать это единое пространство возможно при систематическом взаимодействии ДОУ и семьи. Успех в этом нелегком процессе воспитания полноценного человека зависит от уровня профессиональной компетентности педагогов и педагогической культуры родителей. </w:t>
      </w:r>
    </w:p>
    <w:p w14:paraId="2D000000">
      <w:pPr>
        <w:spacing w:before="0" w:line="240" w:lineRule="auto"/>
        <w:ind w:firstLine="520" w:left="0"/>
        <w:jc w:val="both"/>
        <w:rPr>
          <w:rFonts w:ascii="Times New Roman" w:hAnsi="Times New Roman"/>
          <w:b w:val="1"/>
          <w:sz w:val="24"/>
          <w:u w:val="none"/>
        </w:rPr>
      </w:pPr>
      <w:r>
        <w:rPr>
          <w:rFonts w:ascii="Times New Roman" w:hAnsi="Times New Roman"/>
          <w:sz w:val="24"/>
          <w:u w:val="none"/>
        </w:rPr>
        <w:t xml:space="preserve">Основные </w:t>
      </w:r>
      <w:r>
        <w:rPr>
          <w:rFonts w:ascii="Times New Roman" w:hAnsi="Times New Roman"/>
          <w:b w:val="1"/>
          <w:sz w:val="24"/>
          <w:u w:val="none"/>
        </w:rPr>
        <w:t>принципы пар</w:t>
      </w:r>
      <w:r>
        <w:rPr>
          <w:rFonts w:ascii="Times New Roman" w:hAnsi="Times New Roman"/>
          <w:b w:val="1"/>
          <w:sz w:val="24"/>
          <w:u w:val="none"/>
        </w:rPr>
        <w:t xml:space="preserve">тнёрства </w:t>
      </w:r>
      <w:r>
        <w:rPr>
          <w:rFonts w:ascii="Times New Roman" w:hAnsi="Times New Roman"/>
          <w:b w:val="1"/>
          <w:sz w:val="24"/>
          <w:u w:val="none"/>
        </w:rPr>
        <w:t xml:space="preserve"> ДОУ и семьи:</w:t>
      </w:r>
    </w:p>
    <w:p w14:paraId="2E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1.Доброжелательный стиль общения педагогов с родителями (создание партнерских, доверительных отношений между родителями и воспитателем) </w:t>
      </w:r>
    </w:p>
    <w:p w14:paraId="2F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2.Индивидуальный подход (в ежедневном контакте воспитателя, когда родители приводят и забирают детей).</w:t>
      </w:r>
    </w:p>
    <w:p w14:paraId="30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3.Динамичность (быстро реагировать на изменения социального состава родителей, их образовательные потребности и воспитательные запросы).</w:t>
      </w:r>
    </w:p>
    <w:p w14:paraId="31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4.Открытость (п</w:t>
      </w:r>
      <w:r>
        <w:rPr>
          <w:rFonts w:ascii="Times New Roman" w:hAnsi="Times New Roman"/>
          <w:sz w:val="24"/>
        </w:rPr>
        <w:t>осещение родителями группы для того, чтобы они могли видеть, как и чем  занимается их ребенок).</w:t>
      </w:r>
    </w:p>
    <w:p w14:paraId="32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5.Сотрудничество, а не наст</w:t>
      </w:r>
      <w:r>
        <w:rPr>
          <w:rFonts w:ascii="Times New Roman" w:hAnsi="Times New Roman"/>
          <w:sz w:val="24"/>
        </w:rPr>
        <w:t>авничество. (Сотрудничество - это общение «на равных»</w:t>
      </w:r>
      <w:r>
        <w:rPr>
          <w:rFonts w:ascii="Times New Roman" w:hAnsi="Times New Roman"/>
          <w:sz w:val="24"/>
        </w:rPr>
        <w:t>, где никому не принадлежит привилегия указывать, контролировать, оценивать).</w:t>
      </w:r>
    </w:p>
    <w:p w14:paraId="33000000">
      <w:pPr>
        <w:spacing w:line="240" w:lineRule="auto"/>
        <w:ind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       Формы  организации работы с родителями:</w:t>
      </w:r>
    </w:p>
    <w:p w14:paraId="34000000">
      <w:pPr>
        <w:spacing w:line="240" w:lineRule="auto"/>
        <w:ind w:firstLine="520" w:left="0"/>
        <w:jc w:val="both"/>
        <w:rPr>
          <w:color w:val="000000"/>
          <w:sz w:val="24"/>
        </w:rPr>
      </w:pPr>
      <w:r>
        <w:rPr>
          <w:color w:val="000000"/>
          <w:sz w:val="24"/>
        </w:rPr>
        <w:t>- информационно – аналитическая;</w:t>
      </w:r>
    </w:p>
    <w:p w14:paraId="35000000">
      <w:pPr>
        <w:spacing w:line="240" w:lineRule="auto"/>
        <w:ind w:firstLine="520" w:left="0"/>
        <w:jc w:val="both"/>
        <w:rPr>
          <w:color w:val="000000"/>
          <w:sz w:val="24"/>
        </w:rPr>
      </w:pPr>
      <w:r>
        <w:rPr>
          <w:color w:val="000000"/>
          <w:sz w:val="24"/>
        </w:rPr>
        <w:t>- досуговая;</w:t>
      </w:r>
    </w:p>
    <w:p w14:paraId="36000000">
      <w:pPr>
        <w:spacing w:line="240" w:lineRule="auto"/>
        <w:ind w:firstLine="520" w:left="0"/>
        <w:jc w:val="both"/>
        <w:rPr>
          <w:color w:val="000000"/>
          <w:sz w:val="24"/>
        </w:rPr>
      </w:pPr>
      <w:r>
        <w:rPr>
          <w:color w:val="000000"/>
          <w:sz w:val="24"/>
        </w:rPr>
        <w:t>- познавательная;</w:t>
      </w:r>
    </w:p>
    <w:p w14:paraId="37000000">
      <w:pPr>
        <w:spacing w:line="240" w:lineRule="auto"/>
        <w:ind w:firstLine="520" w:left="0"/>
        <w:jc w:val="both"/>
        <w:rPr>
          <w:color w:val="000000"/>
          <w:sz w:val="24"/>
        </w:rPr>
      </w:pPr>
      <w:r>
        <w:rPr>
          <w:color w:val="000000"/>
          <w:sz w:val="24"/>
        </w:rPr>
        <w:t>- наглядно – информационная; </w:t>
      </w:r>
    </w:p>
    <w:p w14:paraId="38000000">
      <w:pPr>
        <w:spacing w:line="240" w:lineRule="auto"/>
        <w:ind w:firstLine="520" w:left="0"/>
        <w:jc w:val="both"/>
        <w:rPr>
          <w:color w:val="000000"/>
          <w:sz w:val="24"/>
        </w:rPr>
      </w:pPr>
      <w:r>
        <w:rPr>
          <w:color w:val="000000"/>
          <w:sz w:val="24"/>
        </w:rPr>
        <w:t>- индивидуальная.                              </w:t>
      </w:r>
    </w:p>
    <w:p w14:paraId="39000000">
      <w:pPr>
        <w:spacing w:line="240" w:lineRule="auto"/>
        <w:ind w:firstLine="520" w:left="0"/>
        <w:jc w:val="both"/>
        <w:rPr>
          <w:color w:val="000000"/>
          <w:sz w:val="24"/>
        </w:rPr>
      </w:pPr>
    </w:p>
    <w:p w14:paraId="3A000000">
      <w:pPr>
        <w:spacing w:line="240" w:lineRule="auto"/>
        <w:ind w:firstLine="520" w:left="0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Основной задачей </w:t>
      </w:r>
      <w:r>
        <w:rPr>
          <w:b w:val="1"/>
          <w:i w:val="1"/>
          <w:color w:val="000000"/>
          <w:sz w:val="24"/>
        </w:rPr>
        <w:t>информационно – аналитических форм</w:t>
      </w:r>
      <w:r>
        <w:rPr>
          <w:i w:val="1"/>
          <w:color w:val="000000"/>
          <w:sz w:val="24"/>
        </w:rPr>
        <w:t xml:space="preserve"> </w:t>
      </w:r>
      <w:r>
        <w:rPr>
          <w:color w:val="000000"/>
          <w:sz w:val="24"/>
        </w:rPr>
        <w:t>организации общения с родителями являются сбор, обработка и использование в дальнейшей работе данных о семье каждого воспитанника, общекультурном уровне его родителей, наличие у них педагогических знаний, отношении в семье к ребенку, запросах, интересах, потребностях родителей в психолого-педагогической информации.</w:t>
      </w:r>
    </w:p>
    <w:p w14:paraId="3B000000">
      <w:pPr>
        <w:spacing w:line="240" w:lineRule="auto"/>
        <w:ind/>
        <w:jc w:val="both"/>
        <w:rPr>
          <w:color w:val="000000"/>
          <w:sz w:val="24"/>
        </w:rPr>
      </w:pPr>
      <w:r>
        <w:rPr>
          <w:sz w:val="24"/>
        </w:rPr>
        <w:t xml:space="preserve">     </w:t>
      </w:r>
      <w:r>
        <w:rPr>
          <w:color w:val="000000"/>
          <w:sz w:val="24"/>
        </w:rPr>
        <w:t>Проводится эта работа в виде тестов, опросников, анкетирования, социологических срезов, интервьюирования, «почтовых ящиков».</w:t>
      </w:r>
    </w:p>
    <w:p w14:paraId="3C000000">
      <w:pPr>
        <w:spacing w:line="240" w:lineRule="auto"/>
        <w:ind w:firstLine="520" w:left="0"/>
        <w:jc w:val="both"/>
        <w:rPr>
          <w:color w:val="000000"/>
          <w:sz w:val="24"/>
        </w:rPr>
      </w:pPr>
      <w:r>
        <w:rPr>
          <w:b w:val="1"/>
          <w:i w:val="1"/>
          <w:color w:val="000000"/>
          <w:sz w:val="24"/>
        </w:rPr>
        <w:t>Досуговые</w:t>
      </w:r>
      <w:r>
        <w:rPr>
          <w:color w:val="000000"/>
          <w:sz w:val="24"/>
        </w:rPr>
        <w:t xml:space="preserve"> формы организации призваны устанавливать теплые неформальные отношения между педагогами и родителями, а также более доверительные отношения между взрослыми и детьми. </w:t>
      </w:r>
      <w:r>
        <w:rPr>
          <w:color w:val="000000"/>
          <w:sz w:val="24"/>
        </w:rPr>
        <w:t>К данной форме организации относятся совместные праздники, развлечения, досуги, семейные конкурсы, выставки, выпуски семейных газет, коллекций и тематических альбомов, совместные походы и экскурсии, «дни общения», «посиделки» и т.п.</w:t>
      </w:r>
    </w:p>
    <w:p w14:paraId="3D000000">
      <w:pPr>
        <w:spacing w:line="240" w:lineRule="auto"/>
        <w:ind w:firstLine="520" w:left="0"/>
        <w:jc w:val="both"/>
        <w:rPr>
          <w:color w:val="000000"/>
          <w:sz w:val="24"/>
        </w:rPr>
      </w:pPr>
      <w:r>
        <w:rPr>
          <w:b w:val="1"/>
          <w:i w:val="1"/>
          <w:color w:val="000000"/>
          <w:sz w:val="24"/>
        </w:rPr>
        <w:t>Познавательные</w:t>
      </w:r>
      <w:r>
        <w:rPr>
          <w:color w:val="000000"/>
          <w:sz w:val="24"/>
        </w:rPr>
        <w:t xml:space="preserve"> формы организации общения педагогов с семьей предназначены для ознакомления родителей с особенностями возрастного и психологического развития детей, с рациональными методами и приемами воспитания детей, для формирования у родителей практических навыков. Проводятся они в виде семинаро</w:t>
      </w:r>
      <w:r>
        <w:rPr>
          <w:color w:val="000000"/>
          <w:sz w:val="24"/>
        </w:rPr>
        <w:t>в-</w:t>
      </w:r>
      <w:r>
        <w:rPr>
          <w:color w:val="000000"/>
          <w:sz w:val="24"/>
        </w:rPr>
        <w:t xml:space="preserve"> практикумов, педагогических брифингов, педагогических гостиных, собраний и консультаций в нетрадиционной форме, педагогических журналов и газет, игр с педагогическим содержанием, ролевых, проигрывания проблемных ситуаций, моделирования способов родительского поведения, обмена опытом семейного воспитания, дней открытых дверей. Можно организовать «круглый стол» с привлечением узких специалистов, групповые дискуссии, конструктивные споры, которые помогут сравнить различные точки зрения родителей и педагогов на отдельные проблемные ситуации, вербальные дискуссии, обучающие культуре общения в семье и обществе и т.п</w:t>
      </w:r>
      <w:r>
        <w:rPr>
          <w:color w:val="000000"/>
          <w:sz w:val="24"/>
        </w:rPr>
        <w:t>.</w:t>
      </w:r>
    </w:p>
    <w:p w14:paraId="3E000000">
      <w:pPr>
        <w:spacing w:line="240" w:lineRule="auto"/>
        <w:ind w:firstLine="520" w:left="0"/>
        <w:jc w:val="both"/>
        <w:rPr>
          <w:b w:val="1"/>
          <w:color w:val="000000"/>
          <w:sz w:val="24"/>
        </w:rPr>
      </w:pPr>
      <w:r>
        <w:rPr>
          <w:b w:val="1"/>
          <w:i w:val="1"/>
          <w:color w:val="000000"/>
          <w:sz w:val="24"/>
        </w:rPr>
        <w:t>Наглядн</w:t>
      </w:r>
      <w:r>
        <w:rPr>
          <w:b w:val="1"/>
          <w:i w:val="1"/>
          <w:color w:val="000000"/>
          <w:sz w:val="24"/>
        </w:rPr>
        <w:t>о-</w:t>
      </w:r>
      <w:r>
        <w:rPr>
          <w:b w:val="1"/>
          <w:i w:val="1"/>
          <w:color w:val="000000"/>
          <w:sz w:val="24"/>
        </w:rPr>
        <w:t>информационные</w:t>
      </w:r>
      <w:r>
        <w:rPr>
          <w:color w:val="000000"/>
          <w:sz w:val="24"/>
        </w:rPr>
        <w:t xml:space="preserve"> формы организации общения педагогов и родителей решают задачи ознакомления родителей с условиями, содержанием и методами воспитания детей в условиях дошкольного учреждения. Позволяют правильнее оценить деятельность педагогов, пересмотреть методы и приемы домашнего воспитания, объективнее увидеть деятельность воспитателей. Наглядн</w:t>
      </w:r>
      <w:r>
        <w:rPr>
          <w:color w:val="000000"/>
          <w:sz w:val="24"/>
        </w:rPr>
        <w:t>о-</w:t>
      </w:r>
      <w:r>
        <w:rPr>
          <w:color w:val="000000"/>
          <w:sz w:val="24"/>
        </w:rPr>
        <w:t>информационное направление включает в себя: родительские уголки, папки-передвижки, групповые альбомы, библиотечки для родителей, родительскую почту «Вы спрашиваете - мы отвечаем», советы, рекомендации, памятки для родителей, информационные бюллетени, тематические и адресные листовки проблемного характера, с пропагандой определенных идей и событий. Чтобы отойти от стандартных родительских уголков, можно выпустить стенды настольной тематической информации, составленные по запросам и заявкам родителей, стенды-презентации, где сами родители могут презентовать, например, творчество своего ребенка. Не забудьте организовать и рекламный стенд, где есть возможность выразить благодарность родителям за оказанную помощь.</w:t>
      </w:r>
    </w:p>
    <w:p w14:paraId="3F000000">
      <w:pPr>
        <w:spacing w:line="240" w:lineRule="auto"/>
        <w:ind/>
        <w:jc w:val="left"/>
        <w:rPr>
          <w:b w:val="1"/>
          <w:i w:val="1"/>
          <w:sz w:val="24"/>
        </w:rPr>
      </w:pPr>
      <w:r>
        <w:rPr>
          <w:b w:val="1"/>
          <w:i w:val="1"/>
          <w:sz w:val="24"/>
        </w:rPr>
        <w:t xml:space="preserve">        Индивидуальные формы</w:t>
      </w:r>
      <w:r>
        <w:rPr>
          <w:sz w:val="24"/>
        </w:rPr>
        <w:t>. Возможность установить отношения с родителями, основанные на взаимном уважении, наметить пути действенной помощи семье, дать родителем конкретные советы можно реализовать в следующих формах организации работы:</w:t>
      </w:r>
    </w:p>
    <w:p w14:paraId="40000000">
      <w:pPr>
        <w:numPr>
          <w:numId w:val="1"/>
        </w:numPr>
        <w:spacing w:line="240" w:lineRule="auto"/>
        <w:ind/>
        <w:jc w:val="both"/>
        <w:rPr>
          <w:sz w:val="24"/>
        </w:rPr>
      </w:pPr>
      <w:r>
        <w:rPr>
          <w:sz w:val="24"/>
        </w:rPr>
        <w:t>беседы</w:t>
      </w:r>
    </w:p>
    <w:p w14:paraId="41000000">
      <w:pPr>
        <w:numPr>
          <w:numId w:val="2"/>
        </w:numPr>
        <w:spacing w:line="240" w:lineRule="auto"/>
        <w:ind/>
        <w:jc w:val="both"/>
        <w:rPr>
          <w:sz w:val="24"/>
        </w:rPr>
      </w:pPr>
      <w:r>
        <w:rPr>
          <w:sz w:val="24"/>
        </w:rPr>
        <w:t>консультации</w:t>
      </w:r>
    </w:p>
    <w:p w14:paraId="42000000">
      <w:pPr>
        <w:numPr>
          <w:numId w:val="3"/>
        </w:numPr>
        <w:spacing w:line="240" w:lineRule="auto"/>
        <w:ind/>
        <w:jc w:val="both"/>
        <w:rPr>
          <w:sz w:val="24"/>
        </w:rPr>
      </w:pPr>
      <w:r>
        <w:rPr>
          <w:sz w:val="24"/>
        </w:rPr>
        <w:t>посещение семей</w:t>
      </w:r>
    </w:p>
    <w:p w14:paraId="43000000">
      <w:pPr>
        <w:numPr>
          <w:numId w:val="4"/>
        </w:numPr>
        <w:spacing w:line="240" w:lineRule="auto"/>
        <w:ind/>
        <w:jc w:val="both"/>
        <w:rPr>
          <w:sz w:val="24"/>
        </w:rPr>
      </w:pPr>
      <w:r>
        <w:rPr>
          <w:sz w:val="24"/>
        </w:rPr>
        <w:t>поручения родителям.</w:t>
      </w:r>
      <w:bookmarkStart w:id="1" w:name="_GoBack"/>
      <w:bookmarkEnd w:id="1"/>
    </w:p>
    <w:p w14:paraId="44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</w:p>
    <w:p w14:paraId="45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Перспективы работы</w:t>
      </w:r>
      <w:r>
        <w:rPr>
          <w:rFonts w:ascii="Times New Roman" w:hAnsi="Times New Roman"/>
          <w:sz w:val="24"/>
        </w:rPr>
        <w:t xml:space="preserve"> видим </w:t>
      </w:r>
      <w:r>
        <w:rPr>
          <w:rFonts w:ascii="Times New Roman" w:hAnsi="Times New Roman"/>
          <w:sz w:val="24"/>
        </w:rPr>
        <w:t>в поиске нового содержания работы  с родителями, поскольку формы организации взаимодействия с семьей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>ДОУ разнообразны и  современны.</w:t>
      </w:r>
      <w:r>
        <w:rPr>
          <w:sz w:val="24"/>
        </w:rPr>
        <w:t>Целесообразно ввести еще и такие нововведения:</w:t>
      </w:r>
    </w:p>
    <w:p w14:paraId="46000000">
      <w:pPr>
        <w:numPr>
          <w:ilvl w:val="0"/>
          <w:numId w:val="4"/>
        </w:numPr>
        <w:spacing w:after="0" w:line="240" w:lineRule="auto"/>
        <w:ind w:firstLine="709" w:left="0"/>
        <w:contextualSpacing w:val="1"/>
        <w:jc w:val="both"/>
        <w:rPr>
          <w:sz w:val="24"/>
        </w:rPr>
      </w:pPr>
      <w:r>
        <w:rPr>
          <w:sz w:val="24"/>
        </w:rPr>
        <w:t>дни открытых дверей;</w:t>
      </w:r>
    </w:p>
    <w:p w14:paraId="47000000">
      <w:pPr>
        <w:numPr>
          <w:ilvl w:val="0"/>
          <w:numId w:val="4"/>
        </w:numPr>
        <w:spacing w:after="0" w:line="240" w:lineRule="auto"/>
        <w:ind w:firstLine="709" w:left="0"/>
        <w:contextualSpacing w:val="1"/>
        <w:jc w:val="both"/>
        <w:rPr>
          <w:sz w:val="24"/>
        </w:rPr>
      </w:pPr>
      <w:r>
        <w:rPr>
          <w:sz w:val="24"/>
        </w:rPr>
        <w:t>родительская почта;</w:t>
      </w:r>
    </w:p>
    <w:p w14:paraId="48000000">
      <w:pPr>
        <w:numPr>
          <w:ilvl w:val="0"/>
          <w:numId w:val="4"/>
        </w:numPr>
        <w:spacing w:after="0" w:line="240" w:lineRule="auto"/>
        <w:ind w:firstLine="709" w:left="0"/>
        <w:contextualSpacing w:val="1"/>
        <w:jc w:val="both"/>
        <w:rPr>
          <w:sz w:val="24"/>
        </w:rPr>
      </w:pPr>
      <w:r>
        <w:rPr>
          <w:sz w:val="24"/>
        </w:rPr>
        <w:t xml:space="preserve">мероприятия, организованные по инициативе родителей; </w:t>
      </w:r>
    </w:p>
    <w:p w14:paraId="49000000">
      <w:pPr>
        <w:numPr>
          <w:ilvl w:val="0"/>
          <w:numId w:val="4"/>
        </w:numPr>
        <w:spacing w:after="0" w:line="240" w:lineRule="auto"/>
        <w:ind w:firstLine="709" w:left="0"/>
        <w:contextualSpacing w:val="1"/>
        <w:jc w:val="both"/>
        <w:rPr>
          <w:sz w:val="24"/>
        </w:rPr>
      </w:pPr>
      <w:r>
        <w:rPr>
          <w:sz w:val="24"/>
        </w:rPr>
        <w:t>гость групп.</w:t>
      </w:r>
    </w:p>
    <w:sectPr>
      <w:footerReference r:id="rId1" w:type="default"/>
      <w:pgSz w:h="16838" w:orient="portrait" w:w="11906"/>
      <w:pgMar w:bottom="1134" w:footer="708" w:gutter="0" w:header="708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>PAGE \* Arabic</w:instrText>
    </w:r>
    <w:r>
      <w:fldChar w:fldCharType="separate"/>
    </w:r>
    <w:r>
      <w:fldChar w:fldCharType="end"/>
    </w:r>
  </w:p>
  <w:p w14:paraId="01000000"/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3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basedOn w:val="Style_1"/>
    <w:link w:val="Style_6_ch"/>
    <w:uiPriority w:val="9"/>
    <w:qFormat/>
    <w:pPr>
      <w:spacing w:afterAutospacing="on" w:beforeAutospacing="on"/>
      <w:ind/>
      <w:outlineLvl w:val="2"/>
    </w:pPr>
    <w:rPr>
      <w:b w:val="1"/>
      <w:sz w:val="27"/>
    </w:rPr>
  </w:style>
  <w:style w:styleId="Style_6_ch" w:type="character">
    <w:name w:val="heading 3"/>
    <w:basedOn w:val="Style_1_ch"/>
    <w:link w:val="Style_6"/>
    <w:rPr>
      <w:b w:val="1"/>
      <w:sz w:val="27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Strong"/>
    <w:basedOn w:val="Style_7"/>
    <w:link w:val="Style_9_ch"/>
    <w:rPr>
      <w:b w:val="1"/>
    </w:rPr>
  </w:style>
  <w:style w:styleId="Style_9_ch" w:type="character">
    <w:name w:val="Strong"/>
    <w:basedOn w:val="Style_7_ch"/>
    <w:link w:val="Style_9"/>
    <w:rPr>
      <w:b w:val="1"/>
    </w:rPr>
  </w:style>
  <w:style w:styleId="Style_10" w:type="paragraph">
    <w:name w:val="List Paragraph"/>
    <w:basedOn w:val="Style_1"/>
    <w:link w:val="Style_10_ch"/>
    <w:pPr>
      <w:spacing w:after="200" w:line="276" w:lineRule="auto"/>
      <w:ind w:firstLine="0" w:left="720"/>
      <w:contextualSpacing w:val="1"/>
    </w:pPr>
    <w:rPr>
      <w:rFonts w:asciiTheme="minorAscii" w:hAnsiTheme="minorHAnsi"/>
      <w:sz w:val="22"/>
    </w:rPr>
  </w:style>
  <w:style w:styleId="Style_10_ch" w:type="character">
    <w:name w:val="List Paragraph"/>
    <w:basedOn w:val="Style_1_ch"/>
    <w:link w:val="Style_10"/>
    <w:rPr>
      <w:rFonts w:asciiTheme="minorAscii" w:hAnsiTheme="minorHAnsi"/>
      <w:sz w:val="22"/>
    </w:rPr>
  </w:style>
  <w:style w:styleId="Style_11" w:type="paragraph">
    <w:name w:val="heading 5"/>
    <w:next w:val="Style_1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Emphasis"/>
    <w:basedOn w:val="Style_7"/>
    <w:link w:val="Style_16_ch"/>
    <w:rPr>
      <w:i w:val="1"/>
    </w:rPr>
  </w:style>
  <w:style w:styleId="Style_16_ch" w:type="character">
    <w:name w:val="Emphasis"/>
    <w:basedOn w:val="Style_7_ch"/>
    <w:link w:val="Style_16"/>
    <w:rPr>
      <w:i w:val="1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2023-11-21T20:46:34Z</dcterms:modified>
</cp:coreProperties>
</file>